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E8D" w:rsidRPr="00492763" w:rsidRDefault="00FE3E8D" w:rsidP="00FE3E8D">
      <w:pPr>
        <w:ind w:left="360"/>
        <w:rPr>
          <w:rFonts w:cs="Times New Roman"/>
          <w:b/>
          <w:szCs w:val="24"/>
        </w:rPr>
      </w:pPr>
      <w:r w:rsidRPr="00492763">
        <w:rPr>
          <w:rFonts w:cs="Times New Roman"/>
          <w:b/>
          <w:szCs w:val="24"/>
        </w:rPr>
        <w:t>2a Performance Evaluation</w:t>
      </w:r>
    </w:p>
    <w:p w:rsidR="00FE3E8D" w:rsidRPr="00492763" w:rsidRDefault="00FE3E8D" w:rsidP="00FE3E8D">
      <w:pPr>
        <w:spacing w:after="298"/>
        <w:rPr>
          <w:b/>
          <w:szCs w:val="24"/>
        </w:rPr>
      </w:pPr>
      <w:r w:rsidRPr="00492763">
        <w:rPr>
          <w:szCs w:val="24"/>
        </w:rPr>
        <w:t xml:space="preserve">A program is used to determine the performance of senior leaders. In this program, assessment is carried out to determine leaders whose performance can be recommended. Baldrige Performance Excellence Program is also used to evaluate executive compensation. The program offers the required leadership skill that guides leaders on how to improve their effectiveness. Use of evaluation programs contributes to the success of organization due to proper management. </w:t>
      </w:r>
      <w:r w:rsidRPr="00492763">
        <w:rPr>
          <w:rFonts w:cs="Times New Roman"/>
          <w:szCs w:val="24"/>
        </w:rPr>
        <w:t>The organization’s senior leaders get an annual evaluation; this is done by the organizations CEO who is in turn evaluated by the regional president, while the regional president is being evaluated by the BOT. the local leader meets with the CEO to periodical presentation and provincial partnership.</w:t>
      </w:r>
    </w:p>
    <w:p w:rsidR="00FE3E8D" w:rsidRPr="00492763" w:rsidRDefault="00FE3E8D" w:rsidP="00FE3E8D">
      <w:pPr>
        <w:ind w:firstLine="360"/>
        <w:rPr>
          <w:rFonts w:cs="Times New Roman"/>
          <w:b/>
          <w:szCs w:val="24"/>
        </w:rPr>
      </w:pPr>
      <w:r w:rsidRPr="00492763">
        <w:rPr>
          <w:rFonts w:cs="Times New Roman"/>
          <w:b/>
          <w:szCs w:val="24"/>
        </w:rPr>
        <w:t>2b Lawful and Moral Conduct</w:t>
      </w:r>
    </w:p>
    <w:p w:rsidR="00FE3E8D" w:rsidRPr="00492763" w:rsidRDefault="00FE3E8D" w:rsidP="00FE3E8D">
      <w:pPr>
        <w:ind w:left="360"/>
        <w:rPr>
          <w:rFonts w:cs="Times New Roman"/>
          <w:b/>
          <w:szCs w:val="24"/>
        </w:rPr>
      </w:pPr>
      <w:r w:rsidRPr="00492763">
        <w:rPr>
          <w:rFonts w:cs="Times New Roman"/>
          <w:b/>
          <w:szCs w:val="24"/>
        </w:rPr>
        <w:t>2b (1) Lawful Supervisory and Authorization Agreement</w:t>
      </w:r>
    </w:p>
    <w:p w:rsidR="00FE3E8D" w:rsidRPr="0098052F" w:rsidRDefault="00FE3E8D" w:rsidP="00FE3E8D">
      <w:pPr>
        <w:spacing w:after="298"/>
        <w:ind w:firstLine="345"/>
        <w:rPr>
          <w:b/>
        </w:rPr>
      </w:pPr>
      <w:r>
        <w:t xml:space="preserve">Public concerns are anticipated through response from customers which is used to avoid any concerns that may occur in the future. Preparation is made through proper training of employees to ensure that they are aware of the concerns of the public and how to deal with such concerns. In such training, methods of nature conservation are introduced to the employees. Use of a business plan ensures that risks within the organization are addressed accordingly. </w:t>
      </w:r>
      <w:r w:rsidRPr="00492763">
        <w:rPr>
          <w:rFonts w:cs="Times New Roman"/>
          <w:szCs w:val="24"/>
        </w:rPr>
        <w:t>The organization dedicates a lot of care to safeguarding the attainment and exceptional guideline, lawful, security and authorization necessities. Healthiness amenities have jeopardies and the infirmary is dedicated to addressing this difficulties. The properties that are put towards decreasing this jeopardies help diminish the lawful accountabilities on the organization.</w:t>
      </w:r>
    </w:p>
    <w:p w:rsidR="00FE3E8D" w:rsidRPr="00C450B4" w:rsidRDefault="00FE3E8D" w:rsidP="00FE3E8D">
      <w:pPr>
        <w:pStyle w:val="ListParagraph"/>
        <w:spacing w:after="298"/>
        <w:ind w:left="705"/>
        <w:rPr>
          <w:b/>
        </w:rPr>
      </w:pPr>
      <w:r w:rsidRPr="00492763">
        <w:rPr>
          <w:rFonts w:cs="Times New Roman"/>
          <w:b/>
          <w:szCs w:val="24"/>
        </w:rPr>
        <w:lastRenderedPageBreak/>
        <w:t>2b (2) Ethical Behavior</w:t>
      </w:r>
    </w:p>
    <w:p w:rsidR="00FE3E8D" w:rsidRPr="00C450B4" w:rsidRDefault="00FE3E8D" w:rsidP="00E95D8D">
      <w:pPr>
        <w:spacing w:after="298"/>
        <w:rPr>
          <w:b/>
        </w:rPr>
      </w:pPr>
      <w:r>
        <w:t xml:space="preserve">Ethical behavior is promoted through acts such as conflict resolution methods and proper treatment of customers and stake holders. Ethical behavior is monitored through questionnaires provided to customers concerning the nature of treatment they receive within the firm. Breaches within the firm are monitored through the use of a program that allows employees and customers to provide any concerns. </w:t>
      </w:r>
      <w:r w:rsidRPr="00492763">
        <w:rPr>
          <w:rFonts w:cs="Times New Roman"/>
          <w:szCs w:val="24"/>
        </w:rPr>
        <w:t>Each of the members of the BOT signs the cryptograph of behavior and skirmish of Concentration Declarations. The board’s yearly assessment and the self-governing reviews assist in the establishment of sustenance to the pledge of moral performances among the BOT members and the organization at large.</w:t>
      </w:r>
    </w:p>
    <w:p w:rsidR="00FE3E8D" w:rsidRPr="00492763" w:rsidRDefault="00FE3E8D" w:rsidP="00E95D8D">
      <w:pPr>
        <w:rPr>
          <w:rFonts w:cs="Times New Roman"/>
          <w:szCs w:val="24"/>
        </w:rPr>
      </w:pPr>
      <w:r w:rsidRPr="00492763">
        <w:rPr>
          <w:rFonts w:cs="Times New Roman"/>
          <w:szCs w:val="24"/>
        </w:rPr>
        <w:t>The organization has an integrities team, which consists of doctors, personnel, management and members of the public. During the yearly appraisal conferences the morals team introduced strategies and novel patient learning resources. Patients and relatives are made conscious of their privileges via the notice of privileges given to them on the day of admission into the organization. This is also dispatched on main points round the infirmary. In accumulation to this the infirmary organization safeguards that all the recently working labors through a</w:t>
      </w:r>
      <w:r>
        <w:rPr>
          <w:rFonts w:cs="Times New Roman"/>
          <w:szCs w:val="24"/>
        </w:rPr>
        <w:t>n</w:t>
      </w:r>
      <w:r w:rsidRPr="00492763">
        <w:rPr>
          <w:rFonts w:cs="Times New Roman"/>
          <w:szCs w:val="24"/>
        </w:rPr>
        <w:t xml:space="preserve"> unlawful education inspection and are presented to the nil forbearance morals of the organization.</w:t>
      </w:r>
    </w:p>
    <w:p w:rsidR="00FE3E8D" w:rsidRPr="00492763" w:rsidRDefault="00FE3E8D" w:rsidP="00FE3E8D">
      <w:pPr>
        <w:ind w:left="360"/>
        <w:rPr>
          <w:rFonts w:cs="Times New Roman"/>
          <w:b/>
          <w:szCs w:val="24"/>
        </w:rPr>
      </w:pPr>
      <w:r w:rsidRPr="00492763">
        <w:rPr>
          <w:rFonts w:cs="Times New Roman"/>
          <w:b/>
          <w:szCs w:val="24"/>
        </w:rPr>
        <w:t>2c Societal Responsibilities</w:t>
      </w:r>
    </w:p>
    <w:p w:rsidR="00FE3E8D" w:rsidRPr="00AC392E" w:rsidRDefault="00FE3E8D" w:rsidP="00FE3E8D">
      <w:pPr>
        <w:pStyle w:val="ListParagraph"/>
        <w:spacing w:after="298"/>
        <w:ind w:left="705"/>
        <w:rPr>
          <w:b/>
        </w:rPr>
      </w:pPr>
      <w:r w:rsidRPr="00492763">
        <w:rPr>
          <w:rFonts w:cs="Times New Roman"/>
          <w:b/>
          <w:szCs w:val="24"/>
        </w:rPr>
        <w:t>2c (1) Social Well-being</w:t>
      </w:r>
      <w:r w:rsidRPr="00AC392E">
        <w:t xml:space="preserve"> </w:t>
      </w:r>
    </w:p>
    <w:p w:rsidR="00FE3E8D" w:rsidRPr="007D6C49" w:rsidRDefault="00FE3E8D" w:rsidP="00FE3E8D">
      <w:pPr>
        <w:spacing w:after="298"/>
        <w:rPr>
          <w:b/>
        </w:rPr>
      </w:pPr>
      <w:r>
        <w:t xml:space="preserve">Societal well-being and benefit is considered through proper treatment of employees and development of strategies that are aimed at improvement of the well-being of the community. Improvement of health in the society and offering training programs to members of the society </w:t>
      </w:r>
      <w:r>
        <w:lastRenderedPageBreak/>
        <w:t xml:space="preserve">allows me to promote the well-being of the society. </w:t>
      </w:r>
      <w:r w:rsidRPr="007D6C49">
        <w:rPr>
          <w:rFonts w:cs="Times New Roman"/>
          <w:szCs w:val="24"/>
        </w:rPr>
        <w:t xml:space="preserve">The organization supports the community through periodic assemblies and communal well-being providers which include community care to ensure that the community benefits from the health services from the organization. </w:t>
      </w:r>
    </w:p>
    <w:p w:rsidR="00FE3E8D" w:rsidRPr="00492763" w:rsidRDefault="00FE3E8D" w:rsidP="00FE3E8D">
      <w:pPr>
        <w:ind w:left="360"/>
        <w:rPr>
          <w:rFonts w:cs="Times New Roman"/>
          <w:b/>
          <w:szCs w:val="24"/>
        </w:rPr>
      </w:pPr>
      <w:r w:rsidRPr="00492763">
        <w:rPr>
          <w:rFonts w:cs="Times New Roman"/>
          <w:b/>
          <w:szCs w:val="24"/>
        </w:rPr>
        <w:t>2c (2) Community support</w:t>
      </w:r>
    </w:p>
    <w:p w:rsidR="00FE3E8D" w:rsidRDefault="00FE3E8D" w:rsidP="00FE3E8D">
      <w:pPr>
        <w:spacing w:after="298"/>
        <w:ind w:firstLine="345"/>
        <w:rPr>
          <w:rFonts w:cs="Times New Roman"/>
          <w:szCs w:val="24"/>
        </w:rPr>
      </w:pPr>
      <w:r w:rsidRPr="00F10085">
        <w:rPr>
          <w:rFonts w:cs="Times New Roman"/>
          <w:szCs w:val="24"/>
        </w:rPr>
        <w:t xml:space="preserve">The commercial and policy enlargement sustenance group helps the organization reevaluate its key and subordinate amenity regions yearly, through scrutiny of the detailed initiation of the inpatient and casualty populace. </w:t>
      </w:r>
      <w:r>
        <w:t>Surveys provide relevant information concerning the values of an organization since the details obtained are used to determine whether such values are effective or not. Senior leaders contribute to the improvement of these communities by offering them proper management. This management guarantees proper administration of medical services and medical care.</w:t>
      </w:r>
      <w:r>
        <w:rPr>
          <w:b/>
        </w:rPr>
        <w:t xml:space="preserve"> </w:t>
      </w:r>
      <w:r w:rsidRPr="00492763">
        <w:rPr>
          <w:rFonts w:cs="Times New Roman"/>
          <w:szCs w:val="24"/>
        </w:rPr>
        <w:t>According to the placement with the mission, vision and values, the organization vigorously supports and reinforces the key group of people through the obligation on the way to general fitness and comfort of the populace through the contribution in a partnership of communal requirements valuation every four years. This process comprises conferences with the working staff, communal wellbeing care breadwinners and agents from the public. This valuation aids as a instrument for communal health c</w:t>
      </w:r>
      <w:bookmarkStart w:id="0" w:name="_GoBack"/>
      <w:bookmarkEnd w:id="0"/>
      <w:r w:rsidRPr="00492763">
        <w:rPr>
          <w:rFonts w:cs="Times New Roman"/>
          <w:szCs w:val="24"/>
        </w:rPr>
        <w:t>are reserve arrangement.</w:t>
      </w:r>
    </w:p>
    <w:p w:rsidR="00FE3E8D" w:rsidRDefault="00FE3E8D" w:rsidP="00FE3E8D">
      <w:pPr>
        <w:spacing w:after="298"/>
        <w:ind w:firstLine="345"/>
        <w:rPr>
          <w:rFonts w:cs="Times New Roman"/>
          <w:szCs w:val="24"/>
        </w:rPr>
      </w:pPr>
    </w:p>
    <w:p w:rsidR="00FE3E8D" w:rsidRDefault="00FE3E8D" w:rsidP="005D2A69">
      <w:pPr>
        <w:spacing w:after="298"/>
        <w:rPr>
          <w:rFonts w:cs="Times New Roman"/>
          <w:szCs w:val="24"/>
        </w:rPr>
      </w:pPr>
    </w:p>
    <w:p w:rsidR="00FE3E8D" w:rsidRDefault="00FE3E8D" w:rsidP="00FE3E8D">
      <w:pPr>
        <w:spacing w:after="298"/>
        <w:ind w:firstLine="345"/>
        <w:jc w:val="center"/>
        <w:rPr>
          <w:rFonts w:cs="Times New Roman"/>
          <w:szCs w:val="24"/>
        </w:rPr>
      </w:pPr>
    </w:p>
    <w:p w:rsidR="00E95D8D" w:rsidRDefault="00E95D8D" w:rsidP="00FE3E8D">
      <w:pPr>
        <w:spacing w:after="298"/>
        <w:ind w:firstLine="345"/>
        <w:jc w:val="center"/>
        <w:rPr>
          <w:rFonts w:cs="Times New Roman"/>
          <w:szCs w:val="24"/>
        </w:rPr>
      </w:pPr>
    </w:p>
    <w:p w:rsidR="00FE3E8D" w:rsidRPr="0086443A" w:rsidRDefault="00FE3E8D" w:rsidP="00FE3E8D">
      <w:pPr>
        <w:spacing w:after="298"/>
        <w:ind w:firstLine="345"/>
        <w:jc w:val="center"/>
        <w:rPr>
          <w:b/>
        </w:rPr>
      </w:pPr>
      <w:r>
        <w:rPr>
          <w:rFonts w:cs="Times New Roman"/>
          <w:szCs w:val="24"/>
        </w:rPr>
        <w:lastRenderedPageBreak/>
        <w:t>References</w:t>
      </w:r>
    </w:p>
    <w:p w:rsidR="00B544A8" w:rsidRDefault="005D2A69" w:rsidP="00B544A8">
      <w:pPr>
        <w:spacing w:line="276" w:lineRule="auto"/>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Lipinski, C. A. L. F. (2002). Poor aqueous solubility-an industry wide problem in drug discovery. </w:t>
      </w:r>
      <w:r>
        <w:rPr>
          <w:rFonts w:ascii="Arial" w:hAnsi="Arial" w:cs="Arial"/>
          <w:i/>
          <w:iCs/>
          <w:color w:val="222222"/>
          <w:sz w:val="20"/>
          <w:szCs w:val="20"/>
          <w:shd w:val="clear" w:color="auto" w:fill="FFFFFF"/>
        </w:rPr>
        <w:t xml:space="preserve">Am </w:t>
      </w:r>
    </w:p>
    <w:p w:rsidR="005D2A69" w:rsidRPr="005D2A69" w:rsidRDefault="00B544A8" w:rsidP="00B544A8">
      <w:pPr>
        <w:spacing w:line="276" w:lineRule="auto"/>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ab/>
      </w:r>
      <w:r w:rsidR="005D2A69">
        <w:rPr>
          <w:rFonts w:ascii="Arial" w:hAnsi="Arial" w:cs="Arial"/>
          <w:i/>
          <w:iCs/>
          <w:color w:val="222222"/>
          <w:sz w:val="20"/>
          <w:szCs w:val="20"/>
          <w:shd w:val="clear" w:color="auto" w:fill="FFFFFF"/>
        </w:rPr>
        <w:t>Pharm Rev</w:t>
      </w:r>
      <w:r w:rsidR="005D2A69">
        <w:rPr>
          <w:rFonts w:ascii="Arial" w:hAnsi="Arial" w:cs="Arial"/>
          <w:color w:val="222222"/>
          <w:sz w:val="20"/>
          <w:szCs w:val="20"/>
          <w:shd w:val="clear" w:color="auto" w:fill="FFFFFF"/>
        </w:rPr>
        <w:t>, </w:t>
      </w:r>
      <w:r w:rsidR="005D2A69">
        <w:rPr>
          <w:rFonts w:ascii="Arial" w:hAnsi="Arial" w:cs="Arial"/>
          <w:i/>
          <w:iCs/>
          <w:color w:val="222222"/>
          <w:sz w:val="20"/>
          <w:szCs w:val="20"/>
          <w:shd w:val="clear" w:color="auto" w:fill="FFFFFF"/>
        </w:rPr>
        <w:t>5</w:t>
      </w:r>
      <w:r w:rsidR="005D2A69">
        <w:rPr>
          <w:rFonts w:ascii="Arial" w:hAnsi="Arial" w:cs="Arial"/>
          <w:color w:val="222222"/>
          <w:sz w:val="20"/>
          <w:szCs w:val="20"/>
          <w:shd w:val="clear" w:color="auto" w:fill="FFFFFF"/>
        </w:rPr>
        <w:t>(3), 82-85.</w:t>
      </w:r>
    </w:p>
    <w:p w:rsidR="00B544A8" w:rsidRDefault="005D2A69" w:rsidP="00B544A8">
      <w:pPr>
        <w:spacing w:line="276" w:lineRule="auto"/>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Zedeck, S., &amp; Mosier, K. L. (1990). Work in the family and employing organization. </w:t>
      </w:r>
      <w:r>
        <w:rPr>
          <w:rFonts w:ascii="Arial" w:hAnsi="Arial" w:cs="Arial"/>
          <w:i/>
          <w:iCs/>
          <w:color w:val="222222"/>
          <w:sz w:val="20"/>
          <w:szCs w:val="20"/>
          <w:shd w:val="clear" w:color="auto" w:fill="FFFFFF"/>
        </w:rPr>
        <w:t xml:space="preserve">American </w:t>
      </w:r>
    </w:p>
    <w:p w:rsidR="00B544A8" w:rsidRDefault="00B544A8" w:rsidP="00B544A8">
      <w:pPr>
        <w:spacing w:line="276" w:lineRule="auto"/>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ab/>
      </w:r>
      <w:r w:rsidR="005D2A69">
        <w:rPr>
          <w:rFonts w:ascii="Arial" w:hAnsi="Arial" w:cs="Arial"/>
          <w:i/>
          <w:iCs/>
          <w:color w:val="222222"/>
          <w:sz w:val="20"/>
          <w:szCs w:val="20"/>
          <w:shd w:val="clear" w:color="auto" w:fill="FFFFFF"/>
        </w:rPr>
        <w:t>Psychologist</w:t>
      </w:r>
      <w:r w:rsidR="005D2A69">
        <w:rPr>
          <w:rFonts w:ascii="Arial" w:hAnsi="Arial" w:cs="Arial"/>
          <w:color w:val="222222"/>
          <w:sz w:val="20"/>
          <w:szCs w:val="20"/>
          <w:shd w:val="clear" w:color="auto" w:fill="FFFFFF"/>
        </w:rPr>
        <w:t>, </w:t>
      </w:r>
      <w:r w:rsidR="005D2A69">
        <w:rPr>
          <w:rFonts w:ascii="Arial" w:hAnsi="Arial" w:cs="Arial"/>
          <w:i/>
          <w:iCs/>
          <w:color w:val="222222"/>
          <w:sz w:val="20"/>
          <w:szCs w:val="20"/>
          <w:shd w:val="clear" w:color="auto" w:fill="FFFFFF"/>
        </w:rPr>
        <w:t>45</w:t>
      </w:r>
      <w:r w:rsidR="005D2A69">
        <w:rPr>
          <w:rFonts w:ascii="Arial" w:hAnsi="Arial" w:cs="Arial"/>
          <w:color w:val="222222"/>
          <w:sz w:val="20"/>
          <w:szCs w:val="20"/>
          <w:shd w:val="clear" w:color="auto" w:fill="FFFFFF"/>
        </w:rPr>
        <w:t>(2), 240.</w:t>
      </w:r>
    </w:p>
    <w:p w:rsidR="00FE3E8D" w:rsidRPr="00B544A8" w:rsidRDefault="00B544A8" w:rsidP="00B544A8">
      <w:pPr>
        <w:spacing w:line="276" w:lineRule="auto"/>
        <w:rPr>
          <w:rFonts w:ascii="Arial" w:hAnsi="Arial" w:cs="Arial"/>
          <w:i/>
          <w:iCs/>
          <w:color w:val="222222"/>
          <w:sz w:val="20"/>
          <w:szCs w:val="20"/>
          <w:shd w:val="clear" w:color="auto" w:fill="FFFFFF"/>
        </w:rPr>
      </w:pPr>
      <w:r w:rsidRPr="00B544A8">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Merck &amp; Co, &amp; Merck Sharp &amp; Dohme. (1899). </w:t>
      </w:r>
      <w:r>
        <w:rPr>
          <w:rFonts w:ascii="Arial" w:hAnsi="Arial" w:cs="Arial"/>
          <w:i/>
          <w:iCs/>
          <w:color w:val="222222"/>
          <w:sz w:val="20"/>
          <w:szCs w:val="20"/>
          <w:shd w:val="clear" w:color="auto" w:fill="FFFFFF"/>
        </w:rPr>
        <w:t>The Merck manual of diagnosis and therapy</w:t>
      </w:r>
      <w:r>
        <w:rPr>
          <w:rFonts w:ascii="Arial" w:hAnsi="Arial" w:cs="Arial"/>
          <w:color w:val="222222"/>
          <w:sz w:val="20"/>
          <w:szCs w:val="20"/>
          <w:shd w:val="clear" w:color="auto" w:fill="FFFFFF"/>
        </w:rPr>
        <w:t>. Merck.</w:t>
      </w:r>
    </w:p>
    <w:p w:rsidR="00B544A8" w:rsidRDefault="00B544A8"/>
    <w:sectPr w:rsidR="00B544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E8D"/>
    <w:rsid w:val="005D2A69"/>
    <w:rsid w:val="00B544A8"/>
    <w:rsid w:val="00C70C7B"/>
    <w:rsid w:val="00E95D8D"/>
    <w:rsid w:val="00FE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8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8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6</cp:revision>
  <dcterms:created xsi:type="dcterms:W3CDTF">2018-10-26T00:04:00Z</dcterms:created>
  <dcterms:modified xsi:type="dcterms:W3CDTF">2018-10-26T00:10:00Z</dcterms:modified>
</cp:coreProperties>
</file>